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6D02E" w14:textId="77777777" w:rsidR="00C17C4E" w:rsidRPr="00563817" w:rsidRDefault="00C17C4E" w:rsidP="00E3778D">
      <w:pPr>
        <w:suppressAutoHyphens/>
        <w:spacing w:after="0" w:line="276" w:lineRule="auto"/>
        <w:ind w:left="7080"/>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35DD4E1A" w14:textId="77777777" w:rsidR="00C17C4E" w:rsidRPr="00563817" w:rsidRDefault="00C17C4E" w:rsidP="00C17C4E">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RMK õigus- ja hangete osakonna </w:t>
      </w:r>
    </w:p>
    <w:p w14:paraId="060A09AD" w14:textId="64032B21" w:rsidR="00C17C4E" w:rsidRPr="00563817" w:rsidRDefault="00C17C4E" w:rsidP="00C17C4E">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Pr="00D90357">
        <w:rPr>
          <w:rFonts w:ascii="Times New Roman" w:eastAsia="Times New Roman" w:hAnsi="Times New Roman" w:cs="Times New Roman"/>
          <w:kern w:val="0"/>
          <w:sz w:val="24"/>
          <w:szCs w:val="24"/>
          <w:lang w:eastAsia="ar-SA"/>
          <w14:ligatures w14:val="none"/>
        </w:rPr>
        <w:t>1-47.3</w:t>
      </w:r>
      <w:r w:rsidR="007720A9">
        <w:rPr>
          <w:rFonts w:ascii="Times New Roman" w:eastAsia="Times New Roman" w:hAnsi="Times New Roman" w:cs="Times New Roman"/>
          <w:kern w:val="0"/>
          <w:sz w:val="24"/>
          <w:szCs w:val="24"/>
          <w:lang w:eastAsia="ar-SA"/>
          <w14:ligatures w14:val="none"/>
        </w:rPr>
        <w:t>400</w:t>
      </w:r>
      <w:r>
        <w:rPr>
          <w:rFonts w:ascii="Times New Roman" w:eastAsia="Times New Roman" w:hAnsi="Times New Roman" w:cs="Times New Roman"/>
          <w:kern w:val="0"/>
          <w:sz w:val="24"/>
          <w:szCs w:val="24"/>
          <w:lang w:eastAsia="ar-SA"/>
          <w14:ligatures w14:val="none"/>
        </w:rPr>
        <w:t>/</w:t>
      </w:r>
      <w:r w:rsidRPr="00563817">
        <w:rPr>
          <w:rFonts w:ascii="Times New Roman" w:eastAsia="Times New Roman" w:hAnsi="Times New Roman" w:cs="Times New Roman"/>
          <w:kern w:val="0"/>
          <w:sz w:val="24"/>
          <w:szCs w:val="24"/>
          <w:lang w:eastAsia="ar-SA"/>
          <w14:ligatures w14:val="none"/>
        </w:rPr>
        <w:t>1</w:t>
      </w:r>
    </w:p>
    <w:p w14:paraId="4A21D73D" w14:textId="77777777" w:rsidR="00C17C4E" w:rsidRPr="00563817" w:rsidRDefault="00C17C4E" w:rsidP="00C17C4E">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0F4B0B24" w14:textId="77777777" w:rsidR="00C17C4E" w:rsidRPr="00563817" w:rsidRDefault="00C17C4E" w:rsidP="00C17C4E">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79564D3D" w14:textId="7A232DD8" w:rsidR="00F06854" w:rsidRPr="00F06854" w:rsidRDefault="00C17C4E" w:rsidP="00F06854">
      <w:pPr>
        <w:spacing w:after="0" w:line="276" w:lineRule="auto"/>
        <w:jc w:val="both"/>
        <w:outlineLvl w:val="1"/>
        <w:rPr>
          <w:rFonts w:ascii="Times New Roman" w:hAnsi="Times New Roman" w:cs="Times New Roman"/>
          <w:iCs/>
          <w:sz w:val="24"/>
          <w:szCs w:val="24"/>
        </w:rPr>
      </w:pPr>
      <w:r w:rsidRPr="00563817">
        <w:rPr>
          <w:rFonts w:ascii="Times New Roman" w:hAnsi="Times New Roman" w:cs="Times New Roman"/>
          <w:iCs/>
          <w:sz w:val="24"/>
          <w:szCs w:val="24"/>
        </w:rPr>
        <w:t xml:space="preserve">Riigimetsa Majandamise Keskus (edaspidi </w:t>
      </w:r>
      <w:r w:rsidRPr="00563817">
        <w:rPr>
          <w:rFonts w:ascii="Times New Roman" w:hAnsi="Times New Roman" w:cs="Times New Roman"/>
          <w:b/>
          <w:bCs/>
          <w:iCs/>
          <w:sz w:val="24"/>
          <w:szCs w:val="24"/>
        </w:rPr>
        <w:t>Hankija</w:t>
      </w:r>
      <w:r w:rsidRPr="00563817">
        <w:rPr>
          <w:rFonts w:ascii="Times New Roman" w:hAnsi="Times New Roman" w:cs="Times New Roman"/>
          <w:iCs/>
          <w:sz w:val="24"/>
          <w:szCs w:val="24"/>
        </w:rPr>
        <w:t>) teeb ettepaneku esitada pakkumus avatud hankemenetlusena läbiviidavas riigihankes „</w:t>
      </w:r>
      <w:proofErr w:type="spellStart"/>
      <w:r w:rsidR="00F06854" w:rsidRPr="00F06854">
        <w:rPr>
          <w:rFonts w:ascii="Times New Roman" w:hAnsi="Times New Roman" w:cs="Times New Roman"/>
          <w:iCs/>
          <w:sz w:val="24"/>
          <w:szCs w:val="24"/>
        </w:rPr>
        <w:t>Hüpassaare</w:t>
      </w:r>
      <w:proofErr w:type="spellEnd"/>
      <w:r w:rsidR="00F06854" w:rsidRPr="00F06854">
        <w:rPr>
          <w:rFonts w:ascii="Times New Roman" w:hAnsi="Times New Roman" w:cs="Times New Roman"/>
          <w:iCs/>
          <w:sz w:val="24"/>
          <w:szCs w:val="24"/>
        </w:rPr>
        <w:t xml:space="preserve"> õpperaja rekonstrueerimine</w:t>
      </w:r>
      <w:r w:rsidR="00F06854">
        <w:rPr>
          <w:rFonts w:ascii="Times New Roman" w:hAnsi="Times New Roman" w:cs="Times New Roman"/>
          <w:iCs/>
          <w:sz w:val="24"/>
          <w:szCs w:val="24"/>
        </w:rPr>
        <w:t>.</w:t>
      </w:r>
    </w:p>
    <w:p w14:paraId="3F5DA81A" w14:textId="7EDE0D19" w:rsidR="00C17C4E" w:rsidRPr="00563817" w:rsidRDefault="00F06854" w:rsidP="00F06854">
      <w:pPr>
        <w:spacing w:after="0" w:line="276" w:lineRule="auto"/>
        <w:jc w:val="both"/>
        <w:outlineLvl w:val="1"/>
        <w:rPr>
          <w:rFonts w:ascii="Times New Roman" w:hAnsi="Times New Roman" w:cs="Times New Roman"/>
          <w:iCs/>
          <w:sz w:val="24"/>
          <w:szCs w:val="24"/>
        </w:rPr>
      </w:pPr>
      <w:r w:rsidRPr="00F06854">
        <w:rPr>
          <w:rFonts w:ascii="Times New Roman" w:hAnsi="Times New Roman" w:cs="Times New Roman"/>
          <w:iCs/>
          <w:sz w:val="24"/>
          <w:szCs w:val="24"/>
        </w:rPr>
        <w:t>Viitenumber: 294494</w:t>
      </w:r>
      <w:r w:rsidR="00C17C4E">
        <w:rPr>
          <w:rFonts w:ascii="Times New Roman" w:hAnsi="Times New Roman" w:cs="Times New Roman"/>
          <w:iCs/>
          <w:sz w:val="24"/>
          <w:szCs w:val="24"/>
        </w:rPr>
        <w:t xml:space="preserve">“ </w:t>
      </w:r>
      <w:r w:rsidR="00C17C4E" w:rsidRPr="00563817">
        <w:rPr>
          <w:rFonts w:ascii="Times New Roman" w:hAnsi="Times New Roman" w:cs="Times New Roman"/>
          <w:iCs/>
          <w:sz w:val="24"/>
          <w:szCs w:val="24"/>
        </w:rPr>
        <w:t xml:space="preserve">Hange viiakse läbi vastavalt riigihangete seadusele (edaspidi </w:t>
      </w:r>
      <w:r w:rsidR="00C17C4E" w:rsidRPr="00563817">
        <w:rPr>
          <w:rFonts w:ascii="Times New Roman" w:hAnsi="Times New Roman" w:cs="Times New Roman"/>
          <w:b/>
          <w:iCs/>
          <w:sz w:val="24"/>
          <w:szCs w:val="24"/>
        </w:rPr>
        <w:t>RHS</w:t>
      </w:r>
      <w:r w:rsidR="00C17C4E" w:rsidRPr="00563817">
        <w:rPr>
          <w:rFonts w:ascii="Times New Roman" w:hAnsi="Times New Roman" w:cs="Times New Roman"/>
          <w:iCs/>
          <w:sz w:val="24"/>
          <w:szCs w:val="24"/>
        </w:rPr>
        <w:t>), hankija hangete läbiviimise korrale ja riigihanke alusdokumentides sätestatud tingimustele.</w:t>
      </w:r>
    </w:p>
    <w:p w14:paraId="0706C318" w14:textId="77777777" w:rsidR="00C17C4E" w:rsidRPr="00563817" w:rsidRDefault="00C17C4E" w:rsidP="00C17C4E">
      <w:pPr>
        <w:spacing w:after="0" w:line="276" w:lineRule="auto"/>
        <w:jc w:val="both"/>
        <w:outlineLvl w:val="1"/>
        <w:rPr>
          <w:rFonts w:ascii="Times New Roman" w:hAnsi="Times New Roman" w:cs="Times New Roman"/>
          <w:iCs/>
          <w:sz w:val="24"/>
          <w:szCs w:val="24"/>
        </w:rPr>
      </w:pPr>
    </w:p>
    <w:p w14:paraId="2977146F" w14:textId="77777777" w:rsidR="00C17C4E" w:rsidRPr="00563817" w:rsidRDefault="00C17C4E" w:rsidP="00C17C4E">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563817">
        <w:rPr>
          <w:rFonts w:ascii="Times New Roman" w:eastAsia="Times New Roman" w:hAnsi="Times New Roman" w:cs="Times New Roman"/>
          <w:b/>
          <w:bCs/>
          <w:kern w:val="32"/>
          <w:sz w:val="24"/>
          <w:szCs w:val="24"/>
          <w14:ligatures w14:val="none"/>
        </w:rPr>
        <w:t>ÜLDOSA</w:t>
      </w:r>
      <w:bookmarkEnd w:id="0"/>
      <w:r w:rsidRPr="00563817">
        <w:rPr>
          <w:rFonts w:ascii="Times New Roman" w:eastAsia="Times New Roman" w:hAnsi="Times New Roman" w:cs="Times New Roman"/>
          <w:b/>
          <w:bCs/>
          <w:kern w:val="32"/>
          <w:sz w:val="24"/>
          <w:szCs w:val="24"/>
          <w14:ligatures w14:val="none"/>
        </w:rPr>
        <w:tab/>
      </w:r>
    </w:p>
    <w:p w14:paraId="5857C050"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nimi ja andmed: Riigimetsa Majandamise Keskus, Mõisa/3, </w:t>
      </w:r>
      <w:proofErr w:type="spellStart"/>
      <w:r w:rsidRPr="002348C6">
        <w:rPr>
          <w:rFonts w:ascii="Times New Roman" w:hAnsi="Times New Roman" w:cs="Times New Roman"/>
          <w:sz w:val="24"/>
          <w:szCs w:val="24"/>
        </w:rPr>
        <w:t>Sagadi</w:t>
      </w:r>
      <w:proofErr w:type="spellEnd"/>
      <w:r w:rsidRPr="002348C6">
        <w:rPr>
          <w:rFonts w:ascii="Times New Roman" w:hAnsi="Times New Roman" w:cs="Times New Roman"/>
          <w:sz w:val="24"/>
          <w:szCs w:val="24"/>
        </w:rPr>
        <w:t xml:space="preserve"> küla, Haljala vald, Lääne-Viru maakond 45403, registrikood 70004459.</w:t>
      </w:r>
    </w:p>
    <w:p w14:paraId="097C43A3" w14:textId="34AB8A28" w:rsidR="00C17C4E" w:rsidRPr="00426617" w:rsidRDefault="00C17C4E" w:rsidP="00C17C4E">
      <w:pPr>
        <w:pStyle w:val="11"/>
        <w:spacing w:line="276" w:lineRule="auto"/>
        <w:rPr>
          <w:rFonts w:ascii="Times New Roman" w:hAnsi="Times New Roman" w:cs="Times New Roman"/>
          <w:sz w:val="24"/>
          <w:szCs w:val="24"/>
        </w:rPr>
      </w:pPr>
      <w:r w:rsidRPr="00426617">
        <w:rPr>
          <w:rFonts w:ascii="Times New Roman" w:hAnsi="Times New Roman" w:cs="Times New Roman"/>
          <w:sz w:val="24"/>
          <w:szCs w:val="24"/>
        </w:rPr>
        <w:t xml:space="preserve">CPV Klassifikatsioon: </w:t>
      </w:r>
      <w:r w:rsidR="001E7ABC" w:rsidRPr="001E7ABC">
        <w:rPr>
          <w:rFonts w:ascii="Times New Roman" w:hAnsi="Times New Roman" w:cs="Times New Roman"/>
          <w:sz w:val="24"/>
          <w:szCs w:val="24"/>
        </w:rPr>
        <w:t>45212100-7</w:t>
      </w:r>
    </w:p>
    <w:p w14:paraId="7F3B6CD3" w14:textId="33A6B1B3" w:rsidR="00C17C4E" w:rsidRPr="00426617" w:rsidRDefault="00C17C4E" w:rsidP="00C17C4E">
      <w:pPr>
        <w:pStyle w:val="11"/>
        <w:spacing w:line="276" w:lineRule="auto"/>
        <w:rPr>
          <w:rFonts w:ascii="Times New Roman" w:hAnsi="Times New Roman" w:cs="Times New Roman"/>
          <w:sz w:val="24"/>
          <w:szCs w:val="24"/>
        </w:rPr>
      </w:pPr>
      <w:r w:rsidRPr="00426617">
        <w:rPr>
          <w:rFonts w:ascii="Times New Roman" w:hAnsi="Times New Roman" w:cs="Times New Roman"/>
          <w:sz w:val="24"/>
          <w:szCs w:val="24"/>
        </w:rPr>
        <w:t xml:space="preserve">Töö teostamise aluseks on projekteerimisbüroo </w:t>
      </w:r>
      <w:r w:rsidR="000B16B9" w:rsidRPr="000B16B9">
        <w:rPr>
          <w:rFonts w:ascii="Times New Roman" w:hAnsi="Times New Roman" w:cs="Times New Roman"/>
          <w:sz w:val="24"/>
          <w:szCs w:val="24"/>
        </w:rPr>
        <w:t>Selektor Projekt OÜ Tööprojekt Töö nr. PH2426 „HÜPASSAARE ÕPPERAJA PROJEKTEERIMISTÖÖD“</w:t>
      </w:r>
      <w:r w:rsidRPr="00426617">
        <w:rPr>
          <w:rFonts w:ascii="Times New Roman" w:hAnsi="Times New Roman" w:cs="Times New Roman"/>
          <w:sz w:val="24"/>
          <w:szCs w:val="24"/>
        </w:rPr>
        <w:t>.</w:t>
      </w:r>
    </w:p>
    <w:p w14:paraId="25CAC5BA" w14:textId="77777777" w:rsidR="00C17C4E" w:rsidRPr="00FD4CDA" w:rsidRDefault="00C17C4E" w:rsidP="00C17C4E">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 xml:space="preserve"> Riigihanke alusdokumendid (edaspidi RHAD) on kõik asjakohased RHS § 4 punktis 17 viidatud dokumendid, sh käesolev hankedokument koos kõikide lisadega;</w:t>
      </w:r>
    </w:p>
    <w:p w14:paraId="6F1039C6"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5C854C86"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00D5AA98"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1FFE2AA4" w14:textId="77777777" w:rsidR="00C17C4E" w:rsidRPr="00563817" w:rsidRDefault="00C17C4E" w:rsidP="00C17C4E">
      <w:pPr>
        <w:spacing w:after="0" w:line="276" w:lineRule="auto"/>
        <w:jc w:val="both"/>
        <w:rPr>
          <w:rFonts w:ascii="Times New Roman" w:hAnsi="Times New Roman" w:cs="Times New Roman"/>
          <w:sz w:val="24"/>
          <w:szCs w:val="24"/>
        </w:rPr>
      </w:pPr>
    </w:p>
    <w:p w14:paraId="74B68980" w14:textId="77777777" w:rsidR="00C17C4E" w:rsidRPr="00563817" w:rsidRDefault="00C17C4E" w:rsidP="00C17C4E">
      <w:pPr>
        <w:spacing w:after="0" w:line="276" w:lineRule="auto"/>
        <w:jc w:val="both"/>
        <w:rPr>
          <w:rFonts w:ascii="Times New Roman" w:hAnsi="Times New Roman" w:cs="Times New Roman"/>
          <w:sz w:val="24"/>
          <w:szCs w:val="24"/>
        </w:rPr>
      </w:pPr>
    </w:p>
    <w:p w14:paraId="19C5FA7C" w14:textId="7FE05A49" w:rsidR="00C17C4E" w:rsidRPr="002348C6" w:rsidRDefault="00C17C4E" w:rsidP="00C17C4E">
      <w:pPr>
        <w:numPr>
          <w:ilvl w:val="0"/>
          <w:numId w:val="1"/>
        </w:numPr>
        <w:suppressAutoHyphens/>
        <w:spacing w:after="0" w:line="276" w:lineRule="auto"/>
        <w:jc w:val="both"/>
        <w:rPr>
          <w:rFonts w:ascii="Times New Roman" w:hAnsi="Times New Roman" w:cs="Times New Roman"/>
          <w:b/>
          <w:sz w:val="24"/>
          <w:szCs w:val="24"/>
        </w:rPr>
      </w:pPr>
      <w:r w:rsidRPr="00563817">
        <w:rPr>
          <w:rFonts w:ascii="Times New Roman" w:hAnsi="Times New Roman" w:cs="Times New Roman"/>
          <w:b/>
          <w:sz w:val="24"/>
          <w:szCs w:val="24"/>
        </w:rPr>
        <w:t>HANKELEPINGU ESE</w:t>
      </w:r>
      <w:r w:rsidR="006E19EF">
        <w:rPr>
          <w:rFonts w:ascii="Times New Roman" w:hAnsi="Times New Roman" w:cs="Times New Roman"/>
          <w:b/>
          <w:sz w:val="24"/>
          <w:szCs w:val="24"/>
        </w:rPr>
        <w:t xml:space="preserve">, OBJEKTIGA TUTVUMINE </w:t>
      </w:r>
      <w:r w:rsidRPr="00563817">
        <w:rPr>
          <w:rFonts w:ascii="Times New Roman" w:hAnsi="Times New Roman" w:cs="Times New Roman"/>
          <w:b/>
          <w:sz w:val="24"/>
          <w:szCs w:val="24"/>
        </w:rPr>
        <w:t xml:space="preserve">JA </w:t>
      </w:r>
      <w:r w:rsidRPr="002348C6">
        <w:rPr>
          <w:rFonts w:ascii="Times New Roman" w:hAnsi="Times New Roman" w:cs="Times New Roman"/>
          <w:b/>
          <w:sz w:val="24"/>
          <w:szCs w:val="24"/>
        </w:rPr>
        <w:t>TÄHTAEG</w:t>
      </w:r>
      <w:bookmarkStart w:id="2" w:name="_Toc350958044"/>
    </w:p>
    <w:p w14:paraId="5B273665" w14:textId="756DAB97" w:rsidR="00C17C4E" w:rsidRPr="0028061E" w:rsidRDefault="00C17C4E" w:rsidP="00C17C4E">
      <w:pPr>
        <w:pStyle w:val="11"/>
        <w:suppressAutoHyphens/>
        <w:spacing w:line="276" w:lineRule="auto"/>
        <w:rPr>
          <w:rFonts w:ascii="Times New Roman" w:hAnsi="Times New Roman" w:cs="Times New Roman"/>
          <w:b/>
          <w:sz w:val="24"/>
          <w:szCs w:val="24"/>
        </w:rPr>
      </w:pPr>
      <w:r w:rsidRPr="00426617">
        <w:rPr>
          <w:rFonts w:ascii="Times New Roman" w:hAnsi="Times New Roman" w:cs="Times New Roman"/>
          <w:sz w:val="24"/>
          <w:szCs w:val="24"/>
        </w:rPr>
        <w:t>Hankelepingu esemeks on</w:t>
      </w:r>
      <w:bookmarkEnd w:id="2"/>
      <w:r w:rsidR="001E45CB" w:rsidRPr="001E45CB">
        <w:t xml:space="preserve"> </w:t>
      </w:r>
      <w:r w:rsidR="001E45CB" w:rsidRPr="001E45CB">
        <w:rPr>
          <w:rFonts w:ascii="Times New Roman" w:hAnsi="Times New Roman" w:cs="Times New Roman"/>
          <w:sz w:val="24"/>
          <w:szCs w:val="24"/>
        </w:rPr>
        <w:t xml:space="preserve">töövõtja poolt Viljandi maakonnas, Põhja-Sakala vallas, </w:t>
      </w:r>
      <w:proofErr w:type="spellStart"/>
      <w:r w:rsidR="001E45CB" w:rsidRPr="001E45CB">
        <w:rPr>
          <w:rFonts w:ascii="Times New Roman" w:hAnsi="Times New Roman" w:cs="Times New Roman"/>
          <w:sz w:val="24"/>
          <w:szCs w:val="24"/>
        </w:rPr>
        <w:t>Kibaru</w:t>
      </w:r>
      <w:proofErr w:type="spellEnd"/>
      <w:r w:rsidR="001E45CB" w:rsidRPr="001E45CB">
        <w:rPr>
          <w:rFonts w:ascii="Times New Roman" w:hAnsi="Times New Roman" w:cs="Times New Roman"/>
          <w:sz w:val="24"/>
          <w:szCs w:val="24"/>
        </w:rPr>
        <w:t xml:space="preserve"> ja Karjasoo külas asuva </w:t>
      </w:r>
      <w:r w:rsidR="001E45CB" w:rsidRPr="001E45CB">
        <w:rPr>
          <w:rFonts w:ascii="Times New Roman" w:hAnsi="Times New Roman" w:cs="Times New Roman"/>
          <w:sz w:val="24"/>
          <w:szCs w:val="24"/>
        </w:rPr>
        <w:tab/>
      </w:r>
      <w:proofErr w:type="spellStart"/>
      <w:r w:rsidR="001E45CB" w:rsidRPr="001E45CB">
        <w:rPr>
          <w:rFonts w:ascii="Times New Roman" w:hAnsi="Times New Roman" w:cs="Times New Roman"/>
          <w:sz w:val="24"/>
          <w:szCs w:val="24"/>
        </w:rPr>
        <w:t>Hüpassaare</w:t>
      </w:r>
      <w:proofErr w:type="spellEnd"/>
      <w:r w:rsidR="001E45CB" w:rsidRPr="001E45CB">
        <w:rPr>
          <w:rFonts w:ascii="Times New Roman" w:hAnsi="Times New Roman" w:cs="Times New Roman"/>
          <w:sz w:val="24"/>
          <w:szCs w:val="24"/>
        </w:rPr>
        <w:t xml:space="preserve"> õpperaja taristu rekonstrueerimistööde teostamine </w:t>
      </w:r>
      <w:r w:rsidR="001E45CB">
        <w:rPr>
          <w:rFonts w:ascii="Times New Roman" w:hAnsi="Times New Roman" w:cs="Times New Roman"/>
          <w:sz w:val="24"/>
          <w:szCs w:val="24"/>
        </w:rPr>
        <w:t>hanke  alusdokumen</w:t>
      </w:r>
      <w:r w:rsidR="00FC0F2F">
        <w:rPr>
          <w:rFonts w:ascii="Times New Roman" w:hAnsi="Times New Roman" w:cs="Times New Roman"/>
          <w:sz w:val="24"/>
          <w:szCs w:val="24"/>
        </w:rPr>
        <w:t xml:space="preserve">tides sätestatud tingimustel </w:t>
      </w:r>
      <w:r w:rsidR="001E45CB" w:rsidRPr="001E45CB">
        <w:rPr>
          <w:rFonts w:ascii="Times New Roman" w:hAnsi="Times New Roman" w:cs="Times New Roman"/>
          <w:sz w:val="24"/>
          <w:szCs w:val="24"/>
        </w:rPr>
        <w:t>ja korras</w:t>
      </w:r>
      <w:r w:rsidR="001E45CB">
        <w:rPr>
          <w:rFonts w:ascii="Times New Roman" w:hAnsi="Times New Roman" w:cs="Times New Roman"/>
          <w:sz w:val="24"/>
          <w:szCs w:val="24"/>
        </w:rPr>
        <w:t xml:space="preserve"> </w:t>
      </w:r>
      <w:r w:rsidRPr="00426617">
        <w:rPr>
          <w:rFonts w:ascii="Times New Roman" w:hAnsi="Times New Roman" w:cs="Times New Roman"/>
          <w:sz w:val="24"/>
          <w:szCs w:val="24"/>
        </w:rPr>
        <w:t>.</w:t>
      </w:r>
    </w:p>
    <w:p w14:paraId="0A5EA83F" w14:textId="2622C951" w:rsidR="00C17C4E" w:rsidRPr="0028061E" w:rsidRDefault="00C17C4E" w:rsidP="00C17C4E">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b/>
          <w:sz w:val="24"/>
          <w:szCs w:val="24"/>
        </w:rPr>
        <w:t xml:space="preserve">Objektiga on kohustuslik eelnev juhendatud tutvumine hankija määratud aegadel, erandina kokkuleppel muul ajal: </w:t>
      </w:r>
      <w:r w:rsidRPr="0028061E">
        <w:rPr>
          <w:rFonts w:ascii="Times New Roman" w:hAnsi="Times New Roman" w:cs="Times New Roman"/>
          <w:b/>
          <w:bCs/>
          <w:sz w:val="24"/>
          <w:szCs w:val="24"/>
          <w:highlight w:val="yellow"/>
        </w:rPr>
        <w:t>1</w:t>
      </w:r>
      <w:r w:rsidR="005B7F74">
        <w:rPr>
          <w:rFonts w:ascii="Times New Roman" w:hAnsi="Times New Roman" w:cs="Times New Roman"/>
          <w:b/>
          <w:bCs/>
          <w:sz w:val="24"/>
          <w:szCs w:val="24"/>
          <w:highlight w:val="yellow"/>
        </w:rPr>
        <w:t>4</w:t>
      </w:r>
      <w:r w:rsidRPr="0028061E">
        <w:rPr>
          <w:rFonts w:ascii="Times New Roman" w:hAnsi="Times New Roman" w:cs="Times New Roman"/>
          <w:b/>
          <w:bCs/>
          <w:sz w:val="24"/>
          <w:szCs w:val="24"/>
          <w:highlight w:val="yellow"/>
        </w:rPr>
        <w:t>. mai 2025</w:t>
      </w:r>
      <w:r w:rsidRPr="0028061E">
        <w:rPr>
          <w:rFonts w:ascii="Times New Roman" w:hAnsi="Times New Roman" w:cs="Times New Roman"/>
          <w:b/>
          <w:sz w:val="24"/>
          <w:szCs w:val="24"/>
          <w:highlight w:val="yellow"/>
        </w:rPr>
        <w:t xml:space="preserve"> </w:t>
      </w:r>
      <w:r w:rsidRPr="0028061E">
        <w:rPr>
          <w:rFonts w:ascii="Times New Roman" w:hAnsi="Times New Roman" w:cs="Times New Roman"/>
          <w:b/>
          <w:bCs/>
          <w:sz w:val="24"/>
          <w:szCs w:val="24"/>
          <w:highlight w:val="yellow"/>
        </w:rPr>
        <w:t>kell 10.00</w:t>
      </w:r>
      <w:r w:rsidRPr="0028061E">
        <w:rPr>
          <w:rFonts w:ascii="Times New Roman" w:hAnsi="Times New Roman" w:cs="Times New Roman"/>
          <w:b/>
          <w:sz w:val="24"/>
          <w:szCs w:val="24"/>
        </w:rPr>
        <w:t xml:space="preserve"> </w:t>
      </w:r>
      <w:r w:rsidRPr="0028061E">
        <w:rPr>
          <w:rFonts w:ascii="Times New Roman" w:hAnsi="Times New Roman" w:cs="Times New Roman"/>
          <w:b/>
          <w:bCs/>
          <w:sz w:val="24"/>
          <w:szCs w:val="24"/>
        </w:rPr>
        <w:t>(</w:t>
      </w:r>
      <w:r w:rsidRPr="0028061E">
        <w:rPr>
          <w:rFonts w:ascii="Times New Roman" w:hAnsi="Times New Roman" w:cs="Times New Roman"/>
          <w:b/>
          <w:sz w:val="24"/>
          <w:szCs w:val="24"/>
        </w:rPr>
        <w:t>erandina kokkuleppel muul ajal</w:t>
      </w:r>
      <w:r w:rsidRPr="0028061E">
        <w:rPr>
          <w:rFonts w:ascii="Times New Roman" w:hAnsi="Times New Roman" w:cs="Times New Roman"/>
          <w:b/>
          <w:bCs/>
          <w:sz w:val="24"/>
          <w:szCs w:val="24"/>
        </w:rPr>
        <w:t>).</w:t>
      </w:r>
      <w:r w:rsidRPr="0028061E">
        <w:rPr>
          <w:rFonts w:ascii="Times New Roman" w:hAnsi="Times New Roman" w:cs="Times New Roman"/>
          <w:b/>
          <w:sz w:val="24"/>
          <w:szCs w:val="24"/>
        </w:rPr>
        <w:t xml:space="preserve"> </w:t>
      </w:r>
    </w:p>
    <w:p w14:paraId="6C692D69" w14:textId="51BB6140" w:rsidR="00C17C4E" w:rsidRPr="0028061E" w:rsidRDefault="00C17C4E" w:rsidP="00C17C4E">
      <w:pPr>
        <w:pStyle w:val="11"/>
        <w:spacing w:line="276" w:lineRule="auto"/>
        <w:rPr>
          <w:rFonts w:ascii="Times New Roman" w:hAnsi="Times New Roman" w:cs="Times New Roman"/>
          <w:b/>
          <w:sz w:val="24"/>
          <w:szCs w:val="24"/>
        </w:rPr>
      </w:pPr>
      <w:r w:rsidRPr="0028061E">
        <w:rPr>
          <w:rFonts w:ascii="Times New Roman" w:hAnsi="Times New Roman" w:cs="Times New Roman"/>
          <w:b/>
          <w:sz w:val="24"/>
          <w:szCs w:val="24"/>
        </w:rPr>
        <w:lastRenderedPageBreak/>
        <w:t xml:space="preserve">Eelnevalt registreeruda: </w:t>
      </w:r>
      <w:r w:rsidR="005B7F74" w:rsidRPr="005B7F74">
        <w:rPr>
          <w:rFonts w:ascii="Times New Roman" w:hAnsi="Times New Roman" w:cs="Times New Roman"/>
          <w:b/>
          <w:sz w:val="24"/>
          <w:szCs w:val="24"/>
        </w:rPr>
        <w:t>RMK külastuskorraldusosakond, tel 5172636 (Lõuna-Eesti piirkonna külastusala juht Riho Männik)</w:t>
      </w:r>
    </w:p>
    <w:p w14:paraId="0C65D55E" w14:textId="77777777" w:rsidR="00C17C4E" w:rsidRPr="0028061E" w:rsidRDefault="00C17C4E" w:rsidP="00C17C4E">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b/>
          <w:sz w:val="24"/>
          <w:szCs w:val="24"/>
        </w:rPr>
        <w:t>Hankija vormistab objektiga juhendatud tutvumisel pakkuja registreerimise ja väljastab pakkujale objektiga tutvumise kohta tõendi. Kui pakkujat esindab tutvumisel volitatud esindaja, palume esitada volikiri.</w:t>
      </w:r>
    </w:p>
    <w:p w14:paraId="39B72442" w14:textId="77777777" w:rsidR="00C17C4E" w:rsidRPr="0028061E" w:rsidRDefault="00C17C4E" w:rsidP="00C17C4E">
      <w:pPr>
        <w:pStyle w:val="11"/>
        <w:rPr>
          <w:rFonts w:ascii="Times New Roman" w:hAnsi="Times New Roman" w:cs="Times New Roman"/>
          <w:b/>
          <w:sz w:val="24"/>
          <w:szCs w:val="24"/>
        </w:rPr>
      </w:pPr>
      <w:r w:rsidRPr="0028061E">
        <w:rPr>
          <w:rFonts w:ascii="Times New Roman" w:hAnsi="Times New Roman" w:cs="Times New Roman"/>
          <w:b/>
          <w:sz w:val="24"/>
          <w:szCs w:val="24"/>
        </w:rPr>
        <w:t>Juhul kui pakkuja ei ole osalenud objektiga juhendatud tutvumisel, jätab hankija pakkumuse läbi vaatamata.</w:t>
      </w:r>
    </w:p>
    <w:p w14:paraId="41F6B8CA" w14:textId="77777777" w:rsidR="00C17C4E" w:rsidRPr="0028061E" w:rsidRDefault="00C17C4E" w:rsidP="00C17C4E">
      <w:pPr>
        <w:pStyle w:val="11"/>
        <w:rPr>
          <w:rFonts w:ascii="Times New Roman" w:hAnsi="Times New Roman" w:cs="Times New Roman"/>
          <w:b/>
          <w:sz w:val="24"/>
          <w:szCs w:val="24"/>
        </w:rPr>
      </w:pPr>
      <w:r w:rsidRPr="0028061E">
        <w:rPr>
          <w:rFonts w:ascii="Times New Roman" w:hAnsi="Times New Roman" w:cs="Times New Roman"/>
          <w:b/>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311BFBCB" w14:textId="0821BC7B" w:rsidR="00C17C4E" w:rsidRPr="0028061E" w:rsidRDefault="00C17C4E" w:rsidP="00C17C4E">
      <w:pPr>
        <w:pStyle w:val="11"/>
        <w:suppressAutoHyphens/>
        <w:spacing w:line="276" w:lineRule="auto"/>
        <w:rPr>
          <w:rFonts w:ascii="Times New Roman" w:hAnsi="Times New Roman" w:cs="Times New Roman"/>
          <w:b/>
          <w:sz w:val="24"/>
          <w:szCs w:val="24"/>
        </w:rPr>
      </w:pPr>
      <w:r w:rsidRPr="00426617">
        <w:rPr>
          <w:rFonts w:ascii="Times New Roman" w:hAnsi="Times New Roman" w:cs="Times New Roman"/>
          <w:sz w:val="24"/>
          <w:szCs w:val="24"/>
        </w:rPr>
        <w:t xml:space="preserve">Hankeleping sõlmitakse tähtajaga </w:t>
      </w:r>
      <w:r>
        <w:rPr>
          <w:rFonts w:ascii="Times New Roman" w:hAnsi="Times New Roman" w:cs="Times New Roman"/>
          <w:sz w:val="24"/>
          <w:szCs w:val="24"/>
        </w:rPr>
        <w:t>15.</w:t>
      </w:r>
      <w:r w:rsidR="00B8788B">
        <w:rPr>
          <w:rFonts w:ascii="Times New Roman" w:hAnsi="Times New Roman" w:cs="Times New Roman"/>
          <w:sz w:val="24"/>
          <w:szCs w:val="24"/>
        </w:rPr>
        <w:t>10</w:t>
      </w:r>
      <w:r>
        <w:rPr>
          <w:rFonts w:ascii="Times New Roman" w:hAnsi="Times New Roman" w:cs="Times New Roman"/>
          <w:sz w:val="24"/>
          <w:szCs w:val="24"/>
        </w:rPr>
        <w:t>.2026, tööde teostamise tähtaeg on 15.</w:t>
      </w:r>
      <w:r w:rsidR="00B8788B">
        <w:rPr>
          <w:rFonts w:ascii="Times New Roman" w:hAnsi="Times New Roman" w:cs="Times New Roman"/>
          <w:sz w:val="24"/>
          <w:szCs w:val="24"/>
        </w:rPr>
        <w:t>09</w:t>
      </w:r>
      <w:r>
        <w:rPr>
          <w:rFonts w:ascii="Times New Roman" w:hAnsi="Times New Roman" w:cs="Times New Roman"/>
          <w:sz w:val="24"/>
          <w:szCs w:val="24"/>
        </w:rPr>
        <w:t>.202</w:t>
      </w:r>
      <w:r w:rsidR="00B8788B">
        <w:rPr>
          <w:rFonts w:ascii="Times New Roman" w:hAnsi="Times New Roman" w:cs="Times New Roman"/>
          <w:sz w:val="24"/>
          <w:szCs w:val="24"/>
        </w:rPr>
        <w:t>6</w:t>
      </w:r>
      <w:r>
        <w:rPr>
          <w:rFonts w:ascii="Times New Roman" w:hAnsi="Times New Roman" w:cs="Times New Roman"/>
          <w:sz w:val="24"/>
          <w:szCs w:val="24"/>
        </w:rPr>
        <w:t>..</w:t>
      </w:r>
    </w:p>
    <w:p w14:paraId="19976F7E" w14:textId="77777777" w:rsidR="00C17C4E" w:rsidRPr="0028061E" w:rsidRDefault="00C17C4E" w:rsidP="00C17C4E">
      <w:pPr>
        <w:pStyle w:val="11"/>
        <w:suppressAutoHyphens/>
        <w:spacing w:line="276" w:lineRule="auto"/>
        <w:rPr>
          <w:rFonts w:ascii="Times New Roman" w:hAnsi="Times New Roman" w:cs="Times New Roman"/>
          <w:b/>
          <w:sz w:val="24"/>
          <w:szCs w:val="24"/>
        </w:rPr>
      </w:pPr>
      <w:r w:rsidRPr="0028061E">
        <w:rPr>
          <w:rFonts w:ascii="Times New Roman" w:hAnsi="Times New Roman" w:cs="Times New Roman"/>
          <w:sz w:val="24"/>
          <w:szCs w:val="24"/>
        </w:rPr>
        <w:t>Hankelepingu täitmisel peavad hankija ja pakkuja juhinduma Eesti Vabariigis kehtivatest õigusaktidest, mis hankelepingu eset puudutavad või sellele kohalduvad</w:t>
      </w:r>
      <w:r>
        <w:rPr>
          <w:rFonts w:ascii="Times New Roman" w:hAnsi="Times New Roman" w:cs="Times New Roman"/>
          <w:sz w:val="24"/>
          <w:szCs w:val="24"/>
        </w:rPr>
        <w:t xml:space="preserve">. </w:t>
      </w:r>
    </w:p>
    <w:p w14:paraId="619CF8F5" w14:textId="77777777" w:rsidR="00C17C4E" w:rsidRPr="00563817" w:rsidRDefault="00C17C4E" w:rsidP="00C17C4E">
      <w:pPr>
        <w:spacing w:after="0" w:line="276" w:lineRule="auto"/>
        <w:ind w:left="426"/>
        <w:jc w:val="both"/>
        <w:rPr>
          <w:rFonts w:ascii="Times New Roman" w:hAnsi="Times New Roman" w:cs="Times New Roman"/>
          <w:sz w:val="24"/>
          <w:szCs w:val="24"/>
        </w:rPr>
      </w:pPr>
    </w:p>
    <w:p w14:paraId="5E07B415" w14:textId="77777777" w:rsidR="00C17C4E" w:rsidRPr="002348C6" w:rsidRDefault="00C17C4E" w:rsidP="00C17C4E">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563817">
        <w:rPr>
          <w:rFonts w:ascii="Times New Roman" w:eastAsia="Times New Roman" w:hAnsi="Times New Roman" w:cs="Times New Roman"/>
          <w:b/>
          <w:bCs/>
          <w:kern w:val="32"/>
          <w:sz w:val="24"/>
          <w:szCs w:val="24"/>
          <w14:ligatures w14:val="none"/>
        </w:rPr>
        <w:t>PAKKUMUS, PAKKUMUSE ESITAMINE JA VASTAVUSE KONTROLLIMINE</w:t>
      </w:r>
    </w:p>
    <w:p w14:paraId="689464BD"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1FE9A212"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60FB463B"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22C24065"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tuleb esitada elektrooniliselt RHR (</w:t>
      </w:r>
      <w:hyperlink r:id="rId5" w:history="1">
        <w:r w:rsidRPr="002348C6">
          <w:rPr>
            <w:rFonts w:ascii="Times New Roman" w:hAnsi="Times New Roman" w:cs="Times New Roman"/>
            <w:sz w:val="24"/>
            <w:szCs w:val="24"/>
          </w:rPr>
          <w:t>https://riigihanked.riik.ee</w:t>
        </w:r>
      </w:hyperlink>
      <w:r w:rsidRPr="002348C6">
        <w:rPr>
          <w:rFonts w:ascii="Times New Roman" w:hAnsi="Times New Roman" w:cs="Times New Roman"/>
          <w:sz w:val="24"/>
          <w:szCs w:val="24"/>
        </w:rPr>
        <w:t>) vahendusel. Pakkumuse esitamise tähtaeg on esitatud HT-s.</w:t>
      </w:r>
    </w:p>
    <w:p w14:paraId="112D18F1"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0A229C83"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2348C6">
        <w:rPr>
          <w:rFonts w:ascii="Times New Roman" w:hAnsi="Times New Roman" w:cs="Times New Roman"/>
          <w:sz w:val="24"/>
          <w:szCs w:val="24"/>
        </w:rPr>
        <w:t>force</w:t>
      </w:r>
      <w:proofErr w:type="spellEnd"/>
      <w:r w:rsidRPr="002348C6">
        <w:rPr>
          <w:rFonts w:ascii="Times New Roman" w:hAnsi="Times New Roman" w:cs="Times New Roman"/>
          <w:sz w:val="24"/>
          <w:szCs w:val="24"/>
        </w:rPr>
        <w:t xml:space="preserve"> </w:t>
      </w:r>
      <w:proofErr w:type="spellStart"/>
      <w:r w:rsidRPr="002348C6">
        <w:rPr>
          <w:rFonts w:ascii="Times New Roman" w:hAnsi="Times New Roman" w:cs="Times New Roman"/>
          <w:sz w:val="24"/>
          <w:szCs w:val="24"/>
        </w:rPr>
        <w:t>majeure</w:t>
      </w:r>
      <w:proofErr w:type="spellEnd"/>
      <w:r w:rsidRPr="002348C6">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CDB0196"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Pakkumuste avamine toimub elektrooniliselt RHR-s HT-s toodud ajal.  </w:t>
      </w:r>
    </w:p>
    <w:p w14:paraId="28D8D9F2" w14:textId="77777777" w:rsidR="00C17C4E" w:rsidRPr="00EA73DA"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kaudu. Pärast teate avaldamist või dokumendi lisamist saadab </w:t>
      </w:r>
      <w:proofErr w:type="spellStart"/>
      <w:r w:rsidRPr="002348C6">
        <w:rPr>
          <w:rFonts w:ascii="Times New Roman" w:hAnsi="Times New Roman" w:cs="Times New Roman"/>
          <w:sz w:val="24"/>
          <w:szCs w:val="24"/>
        </w:rPr>
        <w:t>eRHRi</w:t>
      </w:r>
      <w:proofErr w:type="spellEnd"/>
      <w:r w:rsidRPr="002348C6">
        <w:rPr>
          <w:rFonts w:ascii="Times New Roman" w:hAnsi="Times New Roman" w:cs="Times New Roman"/>
          <w:sz w:val="24"/>
          <w:szCs w:val="24"/>
        </w:rPr>
        <w:t xml:space="preserve"> süsteem automaatteavituse registreeritud isikutele. Samuti esitab hankija kõik otsused pakkujatele </w:t>
      </w:r>
      <w:proofErr w:type="spellStart"/>
      <w:r w:rsidRPr="002348C6">
        <w:rPr>
          <w:rFonts w:ascii="Times New Roman" w:hAnsi="Times New Roman" w:cs="Times New Roman"/>
          <w:sz w:val="24"/>
          <w:szCs w:val="24"/>
        </w:rPr>
        <w:t>eRHR</w:t>
      </w:r>
      <w:proofErr w:type="spellEnd"/>
      <w:r w:rsidRPr="002348C6">
        <w:rPr>
          <w:rFonts w:ascii="Times New Roman" w:hAnsi="Times New Roman" w:cs="Times New Roman"/>
          <w:sz w:val="24"/>
          <w:szCs w:val="24"/>
        </w:rPr>
        <w:t xml:space="preserve"> süsteemi kaudu, mille lisamise kohta saadab e-</w:t>
      </w:r>
      <w:proofErr w:type="spellStart"/>
      <w:r w:rsidRPr="002348C6">
        <w:rPr>
          <w:rFonts w:ascii="Times New Roman" w:hAnsi="Times New Roman" w:cs="Times New Roman"/>
          <w:sz w:val="24"/>
          <w:szCs w:val="24"/>
        </w:rPr>
        <w:t>RHRi</w:t>
      </w:r>
      <w:proofErr w:type="spellEnd"/>
      <w:r w:rsidRPr="002348C6">
        <w:rPr>
          <w:rFonts w:ascii="Times New Roman" w:hAnsi="Times New Roman" w:cs="Times New Roman"/>
          <w:sz w:val="24"/>
          <w:szCs w:val="24"/>
        </w:rPr>
        <w:t xml:space="preserve"> süsteem automaatteavituse.</w:t>
      </w:r>
    </w:p>
    <w:p w14:paraId="222DD588"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lastRenderedPageBreak/>
        <w:t>Juhul, kui pakkujal esineb vähemalt üks RHS § 95 lõike 1 punktides 1–3 ja 5 ning lõike 4 punktides 2–11 nimetatud alustest, peab pakkuja esitama hankija nõudmisel RHS § 97 kohased ja põhjendatud heastamismeetmed iga sellise esinenud asjaolu kohta.</w:t>
      </w:r>
    </w:p>
    <w:p w14:paraId="53659A39"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Pakkumuse maksumus tuleb esitada </w:t>
      </w:r>
      <w:proofErr w:type="spellStart"/>
      <w:r w:rsidRPr="002348C6">
        <w:rPr>
          <w:rFonts w:ascii="Times New Roman" w:hAnsi="Times New Roman" w:cs="Times New Roman"/>
          <w:sz w:val="24"/>
          <w:szCs w:val="24"/>
        </w:rPr>
        <w:t>eRHRi</w:t>
      </w:r>
      <w:proofErr w:type="spellEnd"/>
      <w:r w:rsidRPr="002348C6">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BDA520C"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18A924B" w14:textId="77777777" w:rsidR="00C17C4E" w:rsidRPr="002348C6" w:rsidRDefault="00C17C4E" w:rsidP="00C17C4E">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3C1B0B82" w14:textId="77777777" w:rsidR="00C17C4E" w:rsidRPr="00563817" w:rsidRDefault="00C17C4E" w:rsidP="00C17C4E">
      <w:pPr>
        <w:numPr>
          <w:ilvl w:val="1"/>
          <w:numId w:val="0"/>
        </w:numPr>
        <w:spacing w:after="0" w:line="276" w:lineRule="auto"/>
        <w:jc w:val="both"/>
        <w:rPr>
          <w:rFonts w:ascii="Times New Roman" w:hAnsi="Times New Roman" w:cs="Times New Roman"/>
          <w:sz w:val="24"/>
          <w:szCs w:val="24"/>
        </w:rPr>
      </w:pPr>
    </w:p>
    <w:p w14:paraId="74953FE8" w14:textId="77777777" w:rsidR="00C17C4E" w:rsidRPr="002067F5" w:rsidRDefault="00C17C4E" w:rsidP="00C17C4E">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PAKKUMUSTE HINDAMINE  JA  EDUKAKS TUNNISTAMINE</w:t>
      </w:r>
    </w:p>
    <w:p w14:paraId="1CC1B01A"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hindab vastavaks tunnistatud pakkumusi vastavalt </w:t>
      </w:r>
      <w:proofErr w:type="spellStart"/>
      <w:r w:rsidRPr="002348C6">
        <w:rPr>
          <w:rFonts w:ascii="Times New Roman" w:hAnsi="Times New Roman" w:cs="Times New Roman"/>
          <w:sz w:val="24"/>
          <w:szCs w:val="24"/>
        </w:rPr>
        <w:t>HD-le</w:t>
      </w:r>
      <w:proofErr w:type="spellEnd"/>
      <w:r w:rsidRPr="002348C6">
        <w:rPr>
          <w:rFonts w:ascii="Times New Roman" w:hAnsi="Times New Roman" w:cs="Times New Roman"/>
          <w:sz w:val="24"/>
          <w:szCs w:val="24"/>
        </w:rPr>
        <w:t xml:space="preserve"> ja RHR-s toodud hindamisekriteeriumide osakaaludele 100 väärtuspunkti süsteemis.</w:t>
      </w:r>
    </w:p>
    <w:p w14:paraId="4D8DA2FF"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4DB2EA66" w14:textId="77777777" w:rsidR="00C17C4E"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63D73C1F" w14:textId="77777777" w:rsidR="00C17C4E" w:rsidRPr="002348C6" w:rsidRDefault="00C17C4E" w:rsidP="00C17C4E">
      <w:pPr>
        <w:pStyle w:val="11"/>
        <w:numPr>
          <w:ilvl w:val="0"/>
          <w:numId w:val="0"/>
        </w:numPr>
        <w:spacing w:line="276" w:lineRule="auto"/>
        <w:ind w:left="432"/>
        <w:rPr>
          <w:rFonts w:ascii="Times New Roman" w:hAnsi="Times New Roman" w:cs="Times New Roman"/>
          <w:sz w:val="24"/>
          <w:szCs w:val="24"/>
        </w:rPr>
      </w:pPr>
    </w:p>
    <w:p w14:paraId="532A4EC5" w14:textId="77777777" w:rsidR="00C17C4E" w:rsidRPr="002067F5" w:rsidRDefault="00C17C4E" w:rsidP="00C17C4E">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 xml:space="preserve">KÕRVALDAMISE ALUSTE JA KVALIFIKATSIOONI KONTROLLIMINE </w:t>
      </w:r>
    </w:p>
    <w:p w14:paraId="191CCFC8"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015BFAEF"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40B65D0B"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2F1C4E02" w14:textId="77777777" w:rsidR="00C17C4E" w:rsidRPr="002067F5" w:rsidRDefault="00C17C4E" w:rsidP="00C17C4E">
      <w:pPr>
        <w:pStyle w:val="Loendilik"/>
        <w:numPr>
          <w:ilvl w:val="0"/>
          <w:numId w:val="1"/>
        </w:numPr>
        <w:spacing w:after="0" w:line="276"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2067F5">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6BE96DF4"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lastRenderedPageBreak/>
        <w:t>Hankija võib lisaks RHS §-s 116 sätestatud juhtudele teha põhjendatud kirjaliku otsuse kõigi pakkumuste tagasilükkamise kohta kui ei ole tagatud piisav konkurents (laekub kaks või vähem pakkumust või vastavaks tunnistatakse ainult üks  pakkumus);</w:t>
      </w:r>
    </w:p>
    <w:p w14:paraId="752C1190"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Hankijal on õigus hankemenetlus põhjendatud kirjaliku otsusega kehtetuks tunnistada.</w:t>
      </w:r>
    </w:p>
    <w:p w14:paraId="36AABF1E"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Põhjendatud vajaduseks võib olla eelkõige, kuid mitte ainult:</w:t>
      </w:r>
    </w:p>
    <w:p w14:paraId="4F72BAD6" w14:textId="77777777" w:rsidR="00C17C4E" w:rsidRPr="002348C6" w:rsidRDefault="00C17C4E" w:rsidP="00C17C4E">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tekib vajadus raamlepingu eset olulisel määral muuta;</w:t>
      </w:r>
    </w:p>
    <w:p w14:paraId="7F7694E1" w14:textId="77777777" w:rsidR="00C17C4E" w:rsidRPr="002348C6" w:rsidRDefault="00C17C4E" w:rsidP="00C17C4E">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033A8696" w14:textId="77777777" w:rsidR="00C17C4E" w:rsidRPr="002348C6" w:rsidRDefault="00C17C4E" w:rsidP="00C17C4E">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749CBEE" w14:textId="77777777" w:rsidR="00C17C4E" w:rsidRPr="002348C6" w:rsidRDefault="00C17C4E" w:rsidP="00C17C4E">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hankemenetluses on ilmnenud ebakõlad, mida ei ole võimalik kõrvaldada ega menetlust seetõttu õiguspäraselt lõpule viia.</w:t>
      </w:r>
    </w:p>
    <w:p w14:paraId="65216671" w14:textId="77777777" w:rsidR="00C17C4E" w:rsidRPr="00563817" w:rsidRDefault="00C17C4E" w:rsidP="00C17C4E">
      <w:pPr>
        <w:numPr>
          <w:ilvl w:val="1"/>
          <w:numId w:val="0"/>
        </w:numPr>
        <w:spacing w:after="0" w:line="276" w:lineRule="auto"/>
        <w:jc w:val="both"/>
        <w:rPr>
          <w:rFonts w:ascii="Times New Roman" w:hAnsi="Times New Roman" w:cs="Times New Roman"/>
          <w:b/>
          <w:bCs/>
          <w:sz w:val="24"/>
          <w:szCs w:val="24"/>
        </w:rPr>
      </w:pPr>
    </w:p>
    <w:p w14:paraId="4D63ED11" w14:textId="77777777" w:rsidR="00C17C4E" w:rsidRDefault="00C17C4E" w:rsidP="00C17C4E">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HANKELEPING</w:t>
      </w:r>
      <w:r>
        <w:rPr>
          <w:rFonts w:ascii="Times New Roman" w:hAnsi="Times New Roman" w:cs="Times New Roman"/>
          <w:b/>
          <w:bCs/>
          <w:sz w:val="24"/>
          <w:szCs w:val="24"/>
        </w:rPr>
        <w:t>U SÕLMIMINE</w:t>
      </w:r>
    </w:p>
    <w:p w14:paraId="0D8A9439" w14:textId="31F5964B" w:rsidR="00C17C4E" w:rsidRPr="0028061E" w:rsidRDefault="00C17C4E" w:rsidP="00C17C4E">
      <w:pPr>
        <w:pStyle w:val="11"/>
        <w:spacing w:line="276" w:lineRule="auto"/>
        <w:rPr>
          <w:rFonts w:ascii="Times New Roman" w:hAnsi="Times New Roman" w:cs="Times New Roman"/>
          <w:b/>
          <w:bCs/>
          <w:sz w:val="24"/>
          <w:szCs w:val="24"/>
        </w:rPr>
      </w:pPr>
      <w:r>
        <w:rPr>
          <w:rFonts w:ascii="Times New Roman" w:hAnsi="Times New Roman" w:cs="Times New Roman"/>
          <w:sz w:val="24"/>
          <w:szCs w:val="24"/>
        </w:rPr>
        <w:t>L</w:t>
      </w:r>
      <w:r w:rsidRPr="00426617">
        <w:rPr>
          <w:rFonts w:ascii="Times New Roman" w:hAnsi="Times New Roman" w:cs="Times New Roman"/>
          <w:sz w:val="24"/>
          <w:szCs w:val="24"/>
        </w:rPr>
        <w:t xml:space="preserve">epingutingimused on esitatud lepingu </w:t>
      </w:r>
      <w:r w:rsidRPr="00B02A91">
        <w:rPr>
          <w:rFonts w:ascii="Times New Roman" w:hAnsi="Times New Roman" w:cs="Times New Roman"/>
          <w:sz w:val="24"/>
          <w:szCs w:val="24"/>
        </w:rPr>
        <w:t xml:space="preserve">projektis (Lisa </w:t>
      </w:r>
      <w:r w:rsidR="00695A9F">
        <w:rPr>
          <w:rFonts w:ascii="Times New Roman" w:hAnsi="Times New Roman" w:cs="Times New Roman"/>
          <w:sz w:val="24"/>
          <w:szCs w:val="24"/>
        </w:rPr>
        <w:t>2</w:t>
      </w:r>
      <w:r w:rsidRPr="00B02A91">
        <w:rPr>
          <w:rFonts w:ascii="Times New Roman" w:hAnsi="Times New Roman" w:cs="Times New Roman"/>
          <w:sz w:val="24"/>
          <w:szCs w:val="24"/>
        </w:rPr>
        <w:t>).</w:t>
      </w:r>
      <w:r>
        <w:rPr>
          <w:rFonts w:ascii="Times New Roman" w:hAnsi="Times New Roman" w:cs="Times New Roman"/>
          <w:sz w:val="24"/>
          <w:szCs w:val="24"/>
        </w:rPr>
        <w:t xml:space="preserve"> </w:t>
      </w:r>
    </w:p>
    <w:p w14:paraId="18650987"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772B4A12"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Leping allkirjastatakse digitaalselt. Juhul, kui lepingu allkirjastamine digitaalselt ei ole võimalik (nt piiriülene pakkuja), saadab hankija edukaks tunnistatud pakkumuse esitanud pakkujale kaks hankija poolt allkirjastatud lepingu eksemplari. Leping loetakse </w:t>
      </w:r>
      <w:proofErr w:type="spellStart"/>
      <w:r w:rsidRPr="002348C6">
        <w:rPr>
          <w:rFonts w:ascii="Times New Roman" w:hAnsi="Times New Roman" w:cs="Times New Roman"/>
          <w:sz w:val="24"/>
          <w:szCs w:val="24"/>
        </w:rPr>
        <w:t>kättesaaduks</w:t>
      </w:r>
      <w:proofErr w:type="spellEnd"/>
      <w:r w:rsidRPr="002348C6">
        <w:rPr>
          <w:rFonts w:ascii="Times New Roman" w:hAnsi="Times New Roman" w:cs="Times New Roman"/>
          <w:sz w:val="24"/>
          <w:szCs w:val="24"/>
        </w:rPr>
        <w:t xml:space="preserve"> </w:t>
      </w:r>
      <w:r>
        <w:rPr>
          <w:rFonts w:ascii="Times New Roman" w:hAnsi="Times New Roman" w:cs="Times New Roman"/>
          <w:sz w:val="24"/>
          <w:szCs w:val="24"/>
        </w:rPr>
        <w:t>3</w:t>
      </w:r>
      <w:r w:rsidRPr="002348C6">
        <w:rPr>
          <w:rFonts w:ascii="Times New Roman" w:hAnsi="Times New Roman" w:cs="Times New Roman"/>
          <w:sz w:val="24"/>
          <w:szCs w:val="24"/>
        </w:rPr>
        <w:t xml:space="preserve">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2348C6">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2348C6">
        <w:rPr>
          <w:rFonts w:ascii="Times New Roman" w:hAnsi="Times New Roman" w:cs="Times New Roman"/>
          <w:sz w:val="24"/>
          <w:szCs w:val="24"/>
        </w:rPr>
        <w:t>.</w:t>
      </w:r>
    </w:p>
    <w:p w14:paraId="52C5800F"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7DCEB276" w14:textId="77777777" w:rsidR="00C17C4E" w:rsidRPr="00563817" w:rsidRDefault="00C17C4E" w:rsidP="00C17C4E">
      <w:pPr>
        <w:numPr>
          <w:ilvl w:val="1"/>
          <w:numId w:val="0"/>
        </w:numPr>
        <w:spacing w:after="0" w:line="276" w:lineRule="auto"/>
        <w:jc w:val="both"/>
        <w:rPr>
          <w:rFonts w:ascii="Times New Roman" w:hAnsi="Times New Roman" w:cs="Times New Roman"/>
          <w:sz w:val="24"/>
          <w:szCs w:val="24"/>
        </w:rPr>
      </w:pPr>
    </w:p>
    <w:p w14:paraId="7DA15219" w14:textId="77777777" w:rsidR="00C17C4E" w:rsidRPr="002067F5" w:rsidRDefault="00C17C4E" w:rsidP="00C17C4E">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LISATEABE SAAMINE</w:t>
      </w:r>
    </w:p>
    <w:p w14:paraId="30D78564"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57250DFD"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w:t>
      </w:r>
      <w:r w:rsidRPr="002348C6">
        <w:rPr>
          <w:rFonts w:ascii="Times New Roman" w:hAnsi="Times New Roman" w:cs="Times New Roman"/>
          <w:sz w:val="24"/>
          <w:szCs w:val="24"/>
        </w:rPr>
        <w:lastRenderedPageBreak/>
        <w:t xml:space="preserve">kaudu teavitama ja sellekohase küsimuse esitama. Kui pakkuja ei ole esitanud vastavaid küsimusi RHAD kohta, siis on hankijal õigus lähtuda hankija tõlgendusest.  </w:t>
      </w:r>
    </w:p>
    <w:p w14:paraId="439699BF" w14:textId="77777777" w:rsidR="00C17C4E" w:rsidRPr="002348C6" w:rsidRDefault="00C17C4E" w:rsidP="00C17C4E">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vastab RHAD-</w:t>
      </w:r>
      <w:proofErr w:type="spellStart"/>
      <w:r w:rsidRPr="002348C6">
        <w:rPr>
          <w:rFonts w:ascii="Times New Roman" w:hAnsi="Times New Roman" w:cs="Times New Roman"/>
          <w:sz w:val="24"/>
          <w:szCs w:val="24"/>
        </w:rPr>
        <w:t>ga</w:t>
      </w:r>
      <w:proofErr w:type="spellEnd"/>
      <w:r w:rsidRPr="002348C6">
        <w:rPr>
          <w:rFonts w:ascii="Times New Roman" w:hAnsi="Times New Roman" w:cs="Times New Roman"/>
          <w:sz w:val="24"/>
          <w:szCs w:val="24"/>
        </w:rPr>
        <w:t xml:space="preserve"> seotud selgitustaotlustele RHS § 46 sätestatud tähtaegadel ja korras. </w:t>
      </w:r>
    </w:p>
    <w:p w14:paraId="03951160" w14:textId="77777777" w:rsidR="00C17C4E" w:rsidRPr="00563817" w:rsidRDefault="00C17C4E" w:rsidP="00C17C4E">
      <w:pPr>
        <w:numPr>
          <w:ilvl w:val="1"/>
          <w:numId w:val="0"/>
        </w:numPr>
        <w:spacing w:after="0" w:line="276" w:lineRule="auto"/>
        <w:jc w:val="both"/>
        <w:rPr>
          <w:rFonts w:ascii="Times New Roman" w:hAnsi="Times New Roman" w:cs="Times New Roman"/>
          <w:sz w:val="24"/>
          <w:szCs w:val="24"/>
        </w:rPr>
      </w:pPr>
    </w:p>
    <w:p w14:paraId="08C85350" w14:textId="77777777" w:rsidR="00C17C4E" w:rsidRPr="00563817" w:rsidRDefault="00C17C4E" w:rsidP="00C17C4E">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0830E9D3" w14:textId="77777777" w:rsidR="00C17C4E" w:rsidRPr="00563817" w:rsidRDefault="00C17C4E" w:rsidP="00C17C4E">
      <w:pPr>
        <w:spacing w:after="0" w:line="276" w:lineRule="auto"/>
        <w:ind w:left="360"/>
        <w:jc w:val="both"/>
        <w:rPr>
          <w:rFonts w:ascii="Times New Roman" w:eastAsia="Arial" w:hAnsi="Times New Roman" w:cs="Times New Roman"/>
          <w:sz w:val="24"/>
          <w:szCs w:val="24"/>
        </w:rPr>
      </w:pPr>
    </w:p>
    <w:p w14:paraId="0AA9DDB1" w14:textId="77777777" w:rsidR="00012168" w:rsidRPr="00563817" w:rsidRDefault="00C17C4E" w:rsidP="00012168">
      <w:pPr>
        <w:spacing w:after="0" w:line="276" w:lineRule="auto"/>
        <w:outlineLvl w:val="1"/>
        <w:rPr>
          <w:rFonts w:ascii="Times New Roman" w:eastAsia="Times New Roman" w:hAnsi="Times New Roman" w:cs="Times New Roman"/>
          <w:sz w:val="24"/>
          <w:szCs w:val="24"/>
        </w:rPr>
      </w:pPr>
      <w:r w:rsidRPr="00563817">
        <w:rPr>
          <w:rFonts w:ascii="Times New Roman" w:hAnsi="Times New Roman" w:cs="Times New Roman"/>
          <w:sz w:val="24"/>
          <w:szCs w:val="24"/>
        </w:rPr>
        <w:t>Lisa 1 –</w:t>
      </w:r>
      <w:r>
        <w:rPr>
          <w:rFonts w:ascii="Times New Roman" w:hAnsi="Times New Roman" w:cs="Times New Roman"/>
          <w:sz w:val="24"/>
          <w:szCs w:val="24"/>
        </w:rPr>
        <w:t xml:space="preserve"> </w:t>
      </w:r>
      <w:r w:rsidR="00012168" w:rsidRPr="00563817">
        <w:rPr>
          <w:rFonts w:ascii="Times New Roman" w:hAnsi="Times New Roman" w:cs="Times New Roman"/>
          <w:sz w:val="24"/>
          <w:szCs w:val="24"/>
        </w:rPr>
        <w:t>Tehnili</w:t>
      </w:r>
      <w:r w:rsidR="00012168">
        <w:rPr>
          <w:rFonts w:ascii="Times New Roman" w:hAnsi="Times New Roman" w:cs="Times New Roman"/>
          <w:sz w:val="24"/>
          <w:szCs w:val="24"/>
        </w:rPr>
        <w:t>ne</w:t>
      </w:r>
      <w:r w:rsidR="00012168" w:rsidRPr="00563817">
        <w:rPr>
          <w:rFonts w:ascii="Times New Roman" w:hAnsi="Times New Roman" w:cs="Times New Roman"/>
          <w:sz w:val="24"/>
          <w:szCs w:val="24"/>
        </w:rPr>
        <w:t xml:space="preserve"> kirjeldus koos lisadega</w:t>
      </w:r>
    </w:p>
    <w:p w14:paraId="6AFFB2C5" w14:textId="1D70B07A" w:rsidR="00C17C4E" w:rsidRPr="00563817" w:rsidRDefault="00C17C4E" w:rsidP="00C17C4E">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sidR="00695A9F">
        <w:rPr>
          <w:rFonts w:ascii="Times New Roman" w:hAnsi="Times New Roman" w:cs="Times New Roman"/>
          <w:sz w:val="24"/>
          <w:szCs w:val="24"/>
        </w:rPr>
        <w:t>2</w:t>
      </w:r>
      <w:r w:rsidRPr="00563817">
        <w:rPr>
          <w:rFonts w:ascii="Times New Roman" w:hAnsi="Times New Roman" w:cs="Times New Roman"/>
          <w:sz w:val="24"/>
          <w:szCs w:val="24"/>
        </w:rPr>
        <w:t xml:space="preserve"> - Hankelepingu projekt</w:t>
      </w:r>
    </w:p>
    <w:p w14:paraId="2608559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C4E"/>
    <w:rsid w:val="00012168"/>
    <w:rsid w:val="000B16B9"/>
    <w:rsid w:val="001E45CB"/>
    <w:rsid w:val="001E7ABC"/>
    <w:rsid w:val="005B7F74"/>
    <w:rsid w:val="00695A9F"/>
    <w:rsid w:val="006D22F7"/>
    <w:rsid w:val="006E19EF"/>
    <w:rsid w:val="007720A9"/>
    <w:rsid w:val="00942060"/>
    <w:rsid w:val="00B8788B"/>
    <w:rsid w:val="00C17C4E"/>
    <w:rsid w:val="00E3778D"/>
    <w:rsid w:val="00E73659"/>
    <w:rsid w:val="00EF37C7"/>
    <w:rsid w:val="00F06854"/>
    <w:rsid w:val="00FC0F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FA005"/>
  <w15:chartTrackingRefBased/>
  <w15:docId w15:val="{ECA16551-2F2E-4E2D-9933-ABA75FC9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C4E"/>
  </w:style>
  <w:style w:type="paragraph" w:styleId="Pealkiri1">
    <w:name w:val="heading 1"/>
    <w:basedOn w:val="Normaallaad"/>
    <w:next w:val="Normaallaad"/>
    <w:link w:val="Pealkiri1Mrk"/>
    <w:uiPriority w:val="9"/>
    <w:qFormat/>
    <w:rsid w:val="00C17C4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17C4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17C4E"/>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17C4E"/>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17C4E"/>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17C4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17C4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17C4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17C4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17C4E"/>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17C4E"/>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17C4E"/>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17C4E"/>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17C4E"/>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17C4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17C4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17C4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17C4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17C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17C4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17C4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17C4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17C4E"/>
    <w:pPr>
      <w:spacing w:before="160"/>
      <w:jc w:val="center"/>
    </w:pPr>
    <w:rPr>
      <w:i/>
      <w:iCs/>
      <w:color w:val="404040" w:themeColor="text1" w:themeTint="BF"/>
    </w:rPr>
  </w:style>
  <w:style w:type="character" w:customStyle="1" w:styleId="TsitaatMrk">
    <w:name w:val="Tsitaat Märk"/>
    <w:basedOn w:val="Liguvaikefont"/>
    <w:link w:val="Tsitaat"/>
    <w:uiPriority w:val="29"/>
    <w:rsid w:val="00C17C4E"/>
    <w:rPr>
      <w:i/>
      <w:iCs/>
      <w:color w:val="404040" w:themeColor="text1" w:themeTint="BF"/>
    </w:rPr>
  </w:style>
  <w:style w:type="paragraph" w:styleId="Loendilik">
    <w:name w:val="List Paragraph"/>
    <w:basedOn w:val="Normaallaad"/>
    <w:uiPriority w:val="34"/>
    <w:qFormat/>
    <w:rsid w:val="00C17C4E"/>
    <w:pPr>
      <w:ind w:left="720"/>
      <w:contextualSpacing/>
    </w:pPr>
  </w:style>
  <w:style w:type="character" w:styleId="Selgeltmrgatavrhutus">
    <w:name w:val="Intense Emphasis"/>
    <w:basedOn w:val="Liguvaikefont"/>
    <w:uiPriority w:val="21"/>
    <w:qFormat/>
    <w:rsid w:val="00C17C4E"/>
    <w:rPr>
      <w:i/>
      <w:iCs/>
      <w:color w:val="2E74B5" w:themeColor="accent1" w:themeShade="BF"/>
    </w:rPr>
  </w:style>
  <w:style w:type="paragraph" w:styleId="Selgeltmrgatavtsitaat">
    <w:name w:val="Intense Quote"/>
    <w:basedOn w:val="Normaallaad"/>
    <w:next w:val="Normaallaad"/>
    <w:link w:val="SelgeltmrgatavtsitaatMrk"/>
    <w:uiPriority w:val="30"/>
    <w:qFormat/>
    <w:rsid w:val="00C17C4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17C4E"/>
    <w:rPr>
      <w:i/>
      <w:iCs/>
      <w:color w:val="2E74B5" w:themeColor="accent1" w:themeShade="BF"/>
    </w:rPr>
  </w:style>
  <w:style w:type="character" w:styleId="Selgeltmrgatavviide">
    <w:name w:val="Intense Reference"/>
    <w:basedOn w:val="Liguvaikefont"/>
    <w:uiPriority w:val="32"/>
    <w:qFormat/>
    <w:rsid w:val="00C17C4E"/>
    <w:rPr>
      <w:b/>
      <w:bCs/>
      <w:smallCaps/>
      <w:color w:val="2E74B5" w:themeColor="accent1" w:themeShade="BF"/>
      <w:spacing w:val="5"/>
    </w:rPr>
  </w:style>
  <w:style w:type="paragraph" w:customStyle="1" w:styleId="111">
    <w:name w:val="1.1.1"/>
    <w:basedOn w:val="Normaallaad"/>
    <w:qFormat/>
    <w:rsid w:val="00C17C4E"/>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qFormat/>
    <w:rsid w:val="00C17C4E"/>
    <w:pPr>
      <w:numPr>
        <w:ilvl w:val="1"/>
        <w:numId w:val="1"/>
      </w:numPr>
      <w:spacing w:after="0" w:line="240" w:lineRule="auto"/>
      <w:jc w:val="both"/>
    </w:pPr>
    <w:rPr>
      <w:rFonts w:ascii="MaxPro_S-Light" w:hAnsi="MaxPro_S-Light" w:cs="MaxPro_S-Light"/>
    </w:rPr>
  </w:style>
  <w:style w:type="character" w:styleId="Hperlink">
    <w:name w:val="Hyperlink"/>
    <w:basedOn w:val="Liguvaikefont"/>
    <w:uiPriority w:val="99"/>
    <w:unhideWhenUsed/>
    <w:rsid w:val="00C17C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5</Pages>
  <Words>1770</Words>
  <Characters>10268</Characters>
  <Application>Microsoft Office Word</Application>
  <DocSecurity>0</DocSecurity>
  <Lines>85</Lines>
  <Paragraphs>24</Paragraphs>
  <ScaleCrop>false</ScaleCrop>
  <Company/>
  <LinksUpToDate>false</LinksUpToDate>
  <CharactersWithSpaces>12014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14</cp:revision>
  <dcterms:created xsi:type="dcterms:W3CDTF">2025-04-28T09:45:00Z</dcterms:created>
  <dcterms:modified xsi:type="dcterms:W3CDTF">2025-04-28T11:25:00Z</dcterms:modified>
</cp:coreProperties>
</file>